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92" w:rsidRDefault="004101A7">
      <w:pPr>
        <w:rPr>
          <w:rFonts w:ascii="Arial Black" w:hAnsi="Arial Black"/>
          <w:color w:val="000000" w:themeColor="text1"/>
          <w:sz w:val="19"/>
          <w:szCs w:val="19"/>
        </w:rPr>
      </w:pPr>
      <w:r>
        <w:rPr>
          <w:rFonts w:ascii="Arial Black" w:hAnsi="Arial Black"/>
          <w:color w:val="000000" w:themeColor="text1"/>
          <w:sz w:val="19"/>
          <w:szCs w:val="19"/>
        </w:rPr>
        <w:t xml:space="preserve">   </w:t>
      </w:r>
      <w:r w:rsidR="00033592">
        <w:rPr>
          <w:noProof/>
          <w:lang w:eastAsia="tr-TR"/>
        </w:rPr>
        <w:drawing>
          <wp:inline distT="0" distB="0" distL="0" distR="0" wp14:anchorId="006D211C" wp14:editId="759BEF15">
            <wp:extent cx="383834" cy="391398"/>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249" cy="427511"/>
                    </a:xfrm>
                    <a:prstGeom prst="rect">
                      <a:avLst/>
                    </a:prstGeom>
                    <a:noFill/>
                    <a:ln>
                      <a:noFill/>
                    </a:ln>
                  </pic:spPr>
                </pic:pic>
              </a:graphicData>
            </a:graphic>
          </wp:inline>
        </w:drawing>
      </w:r>
      <w:r>
        <w:rPr>
          <w:rFonts w:ascii="Arial Black" w:hAnsi="Arial Black"/>
          <w:color w:val="000000" w:themeColor="text1"/>
          <w:sz w:val="19"/>
          <w:szCs w:val="19"/>
        </w:rPr>
        <w:t xml:space="preserve">       </w:t>
      </w:r>
      <w:bookmarkStart w:id="0" w:name="_GoBack"/>
      <w:bookmarkEnd w:id="0"/>
    </w:p>
    <w:tbl>
      <w:tblPr>
        <w:tblStyle w:val="TabloKlavuzu"/>
        <w:tblpPr w:leftFromText="141" w:rightFromText="141" w:vertAnchor="text" w:horzAnchor="margin" w:tblpXSpec="center"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6951"/>
      </w:tblGrid>
      <w:tr w:rsidR="006F463E" w:rsidRPr="002356A4" w:rsidTr="002E3A33">
        <w:trPr>
          <w:trHeight w:val="284"/>
        </w:trPr>
        <w:tc>
          <w:tcPr>
            <w:tcW w:w="9062" w:type="dxa"/>
            <w:tcBorders>
              <w:bottom w:val="single" w:sz="4" w:space="0" w:color="F2F2F2" w:themeColor="background1" w:themeShade="F2"/>
            </w:tcBorders>
            <w:shd w:val="clear" w:color="auto" w:fill="808080" w:themeFill="background1" w:themeFillShade="80"/>
          </w:tcPr>
          <w:p w:rsidR="006F463E" w:rsidRPr="00033592" w:rsidRDefault="006F463E" w:rsidP="002E3A33">
            <w:pPr>
              <w:spacing w:before="60" w:after="60"/>
              <w:rPr>
                <w:rFonts w:ascii="Arial" w:hAnsi="Arial" w:cs="Arial"/>
                <w:b/>
                <w:color w:val="000000" w:themeColor="text1"/>
                <w:sz w:val="20"/>
                <w:szCs w:val="20"/>
              </w:rPr>
            </w:pPr>
            <w:r w:rsidRPr="00033592">
              <w:rPr>
                <w:rFonts w:ascii="Arial" w:hAnsi="Arial" w:cs="Arial"/>
                <w:b/>
                <w:color w:val="F2F2F2" w:themeColor="background1" w:themeShade="F2"/>
                <w:sz w:val="20"/>
                <w:szCs w:val="20"/>
              </w:rPr>
              <w:t>TÜRKÇE</w:t>
            </w:r>
          </w:p>
        </w:tc>
      </w:tr>
    </w:tbl>
    <w:p w:rsidR="00033592" w:rsidRDefault="00033592">
      <w:pPr>
        <w:rPr>
          <w:rFonts w:ascii="Arial Black" w:hAnsi="Arial Black"/>
          <w:color w:val="000000" w:themeColor="text1"/>
          <w:sz w:val="19"/>
          <w:szCs w:val="19"/>
        </w:rPr>
        <w:sectPr w:rsidR="00033592" w:rsidSect="0002398D">
          <w:headerReference w:type="even" r:id="rId9"/>
          <w:footerReference w:type="first" r:id="rId10"/>
          <w:pgSz w:w="8391" w:h="11907" w:code="11"/>
          <w:pgMar w:top="720" w:right="720" w:bottom="720" w:left="720" w:header="170" w:footer="0" w:gutter="0"/>
          <w:pgNumType w:start="12"/>
          <w:cols w:space="708"/>
          <w:docGrid w:linePitch="360"/>
        </w:sectPr>
      </w:pPr>
    </w:p>
    <w:p w:rsidR="002356A4" w:rsidRPr="00033592" w:rsidRDefault="002356A4">
      <w:pPr>
        <w:rPr>
          <w:rFonts w:ascii="Arial Black" w:hAnsi="Arial Black"/>
          <w:color w:val="000000" w:themeColor="text1"/>
          <w:sz w:val="12"/>
          <w:szCs w:val="12"/>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TJFT/ TJHT, TJFU/ TJHU – </w:t>
      </w:r>
      <w:proofErr w:type="spellStart"/>
      <w:r w:rsidRPr="002E3A33">
        <w:rPr>
          <w:rFonts w:ascii="Arial" w:hAnsi="Arial" w:cs="Arial"/>
          <w:color w:val="000000" w:themeColor="text1"/>
          <w:sz w:val="14"/>
          <w:szCs w:val="14"/>
        </w:rPr>
        <w:t>Aksiyel</w:t>
      </w:r>
      <w:proofErr w:type="spellEnd"/>
      <w:r w:rsidRPr="002E3A33">
        <w:rPr>
          <w:rFonts w:ascii="Arial" w:hAnsi="Arial" w:cs="Arial"/>
          <w:color w:val="000000" w:themeColor="text1"/>
          <w:sz w:val="14"/>
          <w:szCs w:val="14"/>
        </w:rPr>
        <w:t xml:space="preserve"> Jet Fanlar</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TJFT, TJFU – Havalandırma</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TJHT, TJHU – Havalandırma ve Duman Tahliye</w:t>
      </w:r>
    </w:p>
    <w:p w:rsidR="00033592" w:rsidRPr="002E3A33" w:rsidRDefault="00033592"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Bu </w:t>
      </w:r>
      <w:proofErr w:type="spellStart"/>
      <w:r w:rsidRPr="002E3A33">
        <w:rPr>
          <w:rFonts w:ascii="Arial" w:hAnsi="Arial" w:cs="Arial"/>
          <w:color w:val="000000" w:themeColor="text1"/>
          <w:sz w:val="14"/>
          <w:szCs w:val="14"/>
        </w:rPr>
        <w:t>aksiyel</w:t>
      </w:r>
      <w:proofErr w:type="spellEnd"/>
      <w:r w:rsidRPr="002E3A33">
        <w:rPr>
          <w:rFonts w:ascii="Arial" w:hAnsi="Arial" w:cs="Arial"/>
          <w:color w:val="000000" w:themeColor="text1"/>
          <w:sz w:val="14"/>
          <w:szCs w:val="14"/>
        </w:rPr>
        <w:t xml:space="preserve"> jet fan serisi, uluslararası kalite standartlarına uygun olarak, sıkı üretim ve kalite kontrol standartlarına göre üretilmiştir. </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Tüm birleşenler, üretim </w:t>
      </w:r>
      <w:proofErr w:type="gramStart"/>
      <w:r w:rsidRPr="002E3A33">
        <w:rPr>
          <w:rFonts w:ascii="Arial" w:hAnsi="Arial" w:cs="Arial"/>
          <w:color w:val="000000" w:themeColor="text1"/>
          <w:sz w:val="14"/>
          <w:szCs w:val="14"/>
        </w:rPr>
        <w:t>prosesinin</w:t>
      </w:r>
      <w:proofErr w:type="gramEnd"/>
      <w:r w:rsidRPr="002E3A33">
        <w:rPr>
          <w:rFonts w:ascii="Arial" w:hAnsi="Arial" w:cs="Arial"/>
          <w:color w:val="000000" w:themeColor="text1"/>
          <w:sz w:val="14"/>
          <w:szCs w:val="14"/>
        </w:rPr>
        <w:t xml:space="preserve"> sonunda kontrol ve test edilmektedir.</w:t>
      </w:r>
      <w:r w:rsidRPr="002E3A33">
        <w:rPr>
          <w:sz w:val="14"/>
          <w:szCs w:val="14"/>
        </w:rPr>
        <w:t xml:space="preserve"> </w:t>
      </w:r>
      <w:r w:rsidRPr="002E3A33">
        <w:rPr>
          <w:rFonts w:ascii="Arial" w:hAnsi="Arial" w:cs="Arial"/>
          <w:color w:val="000000" w:themeColor="text1"/>
          <w:sz w:val="14"/>
          <w:szCs w:val="14"/>
        </w:rPr>
        <w:t>Tüm cihazlar mükemmel durumda ve çalışır durumda temin edilir.</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Bu ürünü aldığınızda aşağıdaki detayları kontrol etmenizi öneririz:</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1-  Doğru model ve boyut olduğunu kontrol ediniz.</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2- Ürün etiketinde olması gereken detaylar: voltaj, frekans…</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Tüm Jet Fanlar, duman tahliye havalandırma sistemleri için geçerli tüm Ulusal ve Yerel standartlara uygun olarak kurulmalıdır.</w:t>
      </w:r>
    </w:p>
    <w:p w:rsidR="00033592" w:rsidRPr="002E3A33" w:rsidRDefault="00033592"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u w:val="single"/>
        </w:rPr>
      </w:pPr>
      <w:r w:rsidRPr="002E3A33">
        <w:rPr>
          <w:rFonts w:ascii="Arial" w:hAnsi="Arial" w:cs="Arial"/>
          <w:color w:val="000000" w:themeColor="text1"/>
          <w:sz w:val="14"/>
          <w:szCs w:val="14"/>
          <w:u w:val="single"/>
        </w:rPr>
        <w:t>KURULUM</w:t>
      </w:r>
      <w:r w:rsidRPr="002E3A33">
        <w:rPr>
          <w:rFonts w:ascii="Arial" w:hAnsi="Arial" w:cs="Arial"/>
          <w:color w:val="000000" w:themeColor="text1"/>
          <w:sz w:val="14"/>
          <w:szCs w:val="14"/>
        </w:rPr>
        <w:t xml:space="preserve">                                          </w:t>
      </w:r>
      <w:r w:rsidRPr="002E3A33">
        <w:rPr>
          <w:rFonts w:ascii="Arial" w:hAnsi="Arial" w:cs="Arial"/>
          <w:color w:val="000000" w:themeColor="text1"/>
          <w:sz w:val="14"/>
          <w:szCs w:val="14"/>
          <w:u w:val="single"/>
        </w:rPr>
        <w:t xml:space="preserve">           </w:t>
      </w:r>
      <w:r w:rsidRPr="002E3A33">
        <w:rPr>
          <w:rFonts w:ascii="Arial" w:hAnsi="Arial" w:cs="Arial"/>
          <w:color w:val="000000" w:themeColor="text1"/>
          <w:sz w:val="14"/>
          <w:szCs w:val="14"/>
        </w:rPr>
        <w:t xml:space="preserve">    </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 Jet Fanı kurarken, </w:t>
      </w:r>
      <w:proofErr w:type="gramStart"/>
      <w:r w:rsidRPr="002E3A33">
        <w:rPr>
          <w:rFonts w:ascii="Arial" w:hAnsi="Arial" w:cs="Arial"/>
          <w:color w:val="000000" w:themeColor="text1"/>
          <w:sz w:val="14"/>
          <w:szCs w:val="14"/>
        </w:rPr>
        <w:t>optimum</w:t>
      </w:r>
      <w:proofErr w:type="gramEnd"/>
      <w:r w:rsidRPr="002E3A33">
        <w:rPr>
          <w:rFonts w:ascii="Arial" w:hAnsi="Arial" w:cs="Arial"/>
          <w:color w:val="000000" w:themeColor="text1"/>
          <w:sz w:val="14"/>
          <w:szCs w:val="14"/>
        </w:rPr>
        <w:t xml:space="preserve"> Çalışma için giriş / çıkış hava akışını kısıtlayan / engelleyen hiçbir engel bulunmadığından emin olunuz.</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Cihazı elektrik kaynağına bağlamadan önce, pervanenin serbestçe döndüğünden emin olunuz.</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Kurulumu tamamlamadan önce, hareketli parçalara açık erişim olmadığından emin olunuz ve sistemin dönen elektrikli makinelerin güvenliği ile ilgili tüm standartlara uygun olup olmadığını kontrol ediniz.</w:t>
      </w:r>
    </w:p>
    <w:p w:rsidR="00033592" w:rsidRPr="002E3A33" w:rsidRDefault="00033592"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u w:val="single"/>
        </w:rPr>
      </w:pPr>
      <w:r w:rsidRPr="002E3A33">
        <w:rPr>
          <w:rFonts w:ascii="Arial" w:hAnsi="Arial" w:cs="Arial"/>
          <w:color w:val="000000" w:themeColor="text1"/>
          <w:sz w:val="14"/>
          <w:szCs w:val="14"/>
          <w:u w:val="single"/>
        </w:rPr>
        <w:t>ELEKTRİKSEL BAĞLANTI</w:t>
      </w:r>
    </w:p>
    <w:p w:rsidR="00033592" w:rsidRPr="002E3A33" w:rsidRDefault="00033592" w:rsidP="00033592">
      <w:pPr>
        <w:rPr>
          <w:rFonts w:ascii="Arial" w:hAnsi="Arial" w:cs="Arial"/>
          <w:color w:val="000000" w:themeColor="text1"/>
          <w:sz w:val="14"/>
          <w:szCs w:val="14"/>
          <w:u w:val="single"/>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Jet Fan serisinin herhangi bir kurulumuna veya kablo bağlantısına başlamadan önce, şebeke elektrik bağlantısının kesildiğinden emin olunuz.</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Herhangi bir elektrik bağlantısı yapmadan önce, elektrik şebekesinin Gerilim ve Frekansının fan veri etiketininkine uygun olduğundan emin olunuz (izin verilen maksimum voltaj ve frekans sapması +/-%5).</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TJHT, TJHU Jet Fanlar, acil durumlarda Yüksek Sıcaklıklarda belirli bir süre çalışabilen motorlarla donatılmıştır:</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F200 200ºC / 120 dakika</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F300 300ºC / 120 dakika</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F400 400ºC / 120 dakika</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Elektrik şebekesine motor bağlantısı, </w:t>
      </w:r>
      <w:proofErr w:type="gramStart"/>
      <w:r w:rsidRPr="002E3A33">
        <w:rPr>
          <w:rFonts w:ascii="Arial" w:hAnsi="Arial" w:cs="Arial"/>
          <w:color w:val="000000" w:themeColor="text1"/>
          <w:sz w:val="14"/>
          <w:szCs w:val="14"/>
        </w:rPr>
        <w:t>nominal</w:t>
      </w:r>
      <w:proofErr w:type="gramEnd"/>
      <w:r w:rsidRPr="002E3A33">
        <w:rPr>
          <w:rFonts w:ascii="Arial" w:hAnsi="Arial" w:cs="Arial"/>
          <w:color w:val="000000" w:themeColor="text1"/>
          <w:sz w:val="14"/>
          <w:szCs w:val="14"/>
        </w:rPr>
        <w:t xml:space="preserve"> kablo ile yapılması uygundur. Örnek: OMERIN tipi MA-VAS kablo </w:t>
      </w:r>
      <w:proofErr w:type="gramStart"/>
      <w:r w:rsidRPr="002E3A33">
        <w:rPr>
          <w:rFonts w:ascii="Arial" w:hAnsi="Arial" w:cs="Arial"/>
          <w:color w:val="000000" w:themeColor="text1"/>
          <w:sz w:val="14"/>
          <w:szCs w:val="14"/>
        </w:rPr>
        <w:t>yada</w:t>
      </w:r>
      <w:proofErr w:type="gramEnd"/>
      <w:r w:rsidRPr="002E3A33">
        <w:rPr>
          <w:rFonts w:ascii="Arial" w:hAnsi="Arial" w:cs="Arial"/>
          <w:color w:val="000000" w:themeColor="text1"/>
          <w:sz w:val="14"/>
          <w:szCs w:val="14"/>
        </w:rPr>
        <w:t xml:space="preserve"> UNE 20431 (CEI-331) standardı uyarınca eşdeğeri.</w:t>
      </w:r>
    </w:p>
    <w:p w:rsidR="0002398D"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Kurulumdan önce seçilmiş elektrik kablosunun fanın çektiği maksimum akıma dayanacak şekilde </w:t>
      </w:r>
    </w:p>
    <w:p w:rsidR="0002398D" w:rsidRDefault="0002398D"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rPr>
      </w:pPr>
      <w:proofErr w:type="gramStart"/>
      <w:r w:rsidRPr="002E3A33">
        <w:rPr>
          <w:rFonts w:ascii="Arial" w:hAnsi="Arial" w:cs="Arial"/>
          <w:color w:val="000000" w:themeColor="text1"/>
          <w:sz w:val="14"/>
          <w:szCs w:val="14"/>
        </w:rPr>
        <w:t>derecelendirilmiş</w:t>
      </w:r>
      <w:proofErr w:type="gramEnd"/>
      <w:r w:rsidRPr="002E3A33">
        <w:rPr>
          <w:rFonts w:ascii="Arial" w:hAnsi="Arial" w:cs="Arial"/>
          <w:color w:val="000000" w:themeColor="text1"/>
          <w:sz w:val="14"/>
          <w:szCs w:val="14"/>
        </w:rPr>
        <w:t xml:space="preserve"> olduğundan(tüm kabul edilebilir standartlara uygun olarak) emin olunuz.</w:t>
      </w:r>
    </w:p>
    <w:p w:rsidR="002E3A33" w:rsidRDefault="002E3A33"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 Motorların aksesuarlarla donatıldığı yerlerde: termal koruma, ısıtıcılar, hız kontrol cihazı gibi, duman tahliye </w:t>
      </w:r>
      <w:proofErr w:type="spellStart"/>
      <w:r w:rsidRPr="002E3A33">
        <w:rPr>
          <w:rFonts w:ascii="Arial" w:hAnsi="Arial" w:cs="Arial"/>
          <w:color w:val="000000" w:themeColor="text1"/>
          <w:sz w:val="14"/>
          <w:szCs w:val="14"/>
        </w:rPr>
        <w:t>modunda</w:t>
      </w:r>
      <w:proofErr w:type="spellEnd"/>
      <w:r w:rsidRPr="002E3A33">
        <w:rPr>
          <w:rFonts w:ascii="Arial" w:hAnsi="Arial" w:cs="Arial"/>
          <w:color w:val="000000" w:themeColor="text1"/>
          <w:sz w:val="14"/>
          <w:szCs w:val="14"/>
        </w:rPr>
        <w:t xml:space="preserve"> çalışırken, bunlar devre dışı bırakılmalıdır.</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Tüm Jet Fan modelleri, bağlantı kutusunda sağlanan şemaya uygun olarak elektrik kaynağına bağlanmalıdır.</w:t>
      </w:r>
    </w:p>
    <w:p w:rsidR="00A96AF6" w:rsidRPr="002E3A33" w:rsidRDefault="00A96AF6"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Fan topraklama bağlantısının uygun bir topraklama noktasına bağlanıp bağlanmadığını kontrol ediniz.</w:t>
      </w:r>
    </w:p>
    <w:p w:rsidR="00033592" w:rsidRPr="002E3A33" w:rsidRDefault="00033592"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u w:val="single"/>
        </w:rPr>
      </w:pPr>
      <w:r w:rsidRPr="002E3A33">
        <w:rPr>
          <w:rFonts w:ascii="Arial" w:hAnsi="Arial" w:cs="Arial"/>
          <w:color w:val="000000" w:themeColor="text1"/>
          <w:sz w:val="14"/>
          <w:szCs w:val="14"/>
          <w:u w:val="single"/>
        </w:rPr>
        <w:t>PERVANE</w:t>
      </w:r>
    </w:p>
    <w:p w:rsidR="00033592" w:rsidRPr="002E3A33" w:rsidRDefault="00033592" w:rsidP="00033592">
      <w:pPr>
        <w:rPr>
          <w:rFonts w:ascii="Arial" w:hAnsi="Arial" w:cs="Arial"/>
          <w:color w:val="000000" w:themeColor="text1"/>
          <w:sz w:val="14"/>
          <w:szCs w:val="14"/>
          <w:u w:val="single"/>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Tüm pervaneler yüksek derece döküm alüminyumdan üretilmiştir.</w:t>
      </w:r>
    </w:p>
    <w:p w:rsidR="00033592" w:rsidRPr="002E3A33" w:rsidRDefault="00033592"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Pervaneye veya motora herhangi bir manuel müdahale, dengesizliğe ve motorda hasara neden olabilir.</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 Üründe herhangi bir şekilde yapılacak, herhangi bir değişiklik, S&amp;P garantisini geçersiz kılacaktır. </w:t>
      </w:r>
    </w:p>
    <w:p w:rsidR="00033592" w:rsidRPr="002E3A33" w:rsidRDefault="00033592"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u w:val="single"/>
        </w:rPr>
      </w:pPr>
      <w:r w:rsidRPr="002E3A33">
        <w:rPr>
          <w:rFonts w:ascii="Arial" w:hAnsi="Arial" w:cs="Arial"/>
          <w:color w:val="000000" w:themeColor="text1"/>
          <w:sz w:val="14"/>
          <w:szCs w:val="14"/>
          <w:u w:val="single"/>
        </w:rPr>
        <w:t>ÇALIŞMA KOŞULLARI</w:t>
      </w:r>
    </w:p>
    <w:p w:rsidR="00033592" w:rsidRPr="002E3A33" w:rsidRDefault="00033592" w:rsidP="00033592">
      <w:pPr>
        <w:rPr>
          <w:rFonts w:ascii="Arial" w:hAnsi="Arial" w:cs="Arial"/>
          <w:color w:val="000000" w:themeColor="text1"/>
          <w:sz w:val="14"/>
          <w:szCs w:val="14"/>
          <w:u w:val="single"/>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Jet Fanlar serisi, Jet fanda belirtilen Yüksek Sıcaklık / zaman süresine bir defaya mahsus acil durumda çalışmaya dayanacak şekilde tasarlanmıştır:</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F200 200ºC / 120 dakika</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F300 300ºC / 120 dakika</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F400 400ªC / 120 dakika</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Ürün yelpazesi, EN 12101-3 Standartları uyarınca </w:t>
      </w:r>
      <w:proofErr w:type="spellStart"/>
      <w:r w:rsidRPr="002E3A33">
        <w:rPr>
          <w:rFonts w:ascii="Arial" w:hAnsi="Arial" w:cs="Arial"/>
          <w:color w:val="000000" w:themeColor="text1"/>
          <w:sz w:val="14"/>
          <w:szCs w:val="14"/>
        </w:rPr>
        <w:t>Applus</w:t>
      </w:r>
      <w:proofErr w:type="spellEnd"/>
      <w:r w:rsidRPr="002E3A33">
        <w:rPr>
          <w:rFonts w:ascii="Arial" w:hAnsi="Arial" w:cs="Arial"/>
          <w:color w:val="000000" w:themeColor="text1"/>
          <w:sz w:val="14"/>
          <w:szCs w:val="14"/>
        </w:rPr>
        <w:t xml:space="preserve"> laboratuvarı tarafından test edilmiş ve bağımsız olarak sertifikalandırılmıştır.</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Fanın elektriksel ve mekanik çalışma için en az altı (6) ayda bir kontrol edilmesi önerilir.</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Fan her kontrol edildiğinde, pervanenin fan muhafazasındaki okla gösterildiği gibi doğru yönde döndüğünden emin olunuz.</w:t>
      </w:r>
    </w:p>
    <w:p w:rsidR="00033592" w:rsidRPr="002E3A33" w:rsidRDefault="00033592"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u w:val="single"/>
        </w:rPr>
      </w:pPr>
      <w:r w:rsidRPr="002E3A33">
        <w:rPr>
          <w:rFonts w:ascii="Arial" w:hAnsi="Arial" w:cs="Arial"/>
          <w:color w:val="000000" w:themeColor="text1"/>
          <w:sz w:val="14"/>
          <w:szCs w:val="14"/>
          <w:u w:val="single"/>
        </w:rPr>
        <w:t>BAKIM</w:t>
      </w:r>
    </w:p>
    <w:p w:rsidR="00033592" w:rsidRPr="002E3A33" w:rsidRDefault="00033592" w:rsidP="00033592">
      <w:pPr>
        <w:rPr>
          <w:rFonts w:ascii="Arial" w:hAnsi="Arial" w:cs="Arial"/>
          <w:color w:val="000000" w:themeColor="text1"/>
          <w:sz w:val="14"/>
          <w:szCs w:val="14"/>
          <w:u w:val="single"/>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Fanda, herhangi bir bakım veya temizlik işlemi yapmadan önce, cihazın, ana elektrik şebekesinden bağlantısının kesildiğinden emin olunuz.</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Acil durumlardaki Yüksek Sıcaklıktaki dumanın tahliyesi işlemi için fanlar, kritik bir hayat kurtarıcı fonksiyon sağlayabilir ve bu nedenle, bu talimatlara uygun olarak doğrulanabilir bir bakım sistemi altında incelenmeli ve bakım yapılmalıdır. Güvenli çalışmayı sağlamak için Jet Fanın düzenli olarak denetlenmesini ve temizlenmesini öneriyoruz.</w:t>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 Motorda veya pervanede soğutmayı engelleyebilecek veya pervanenin dengesiz </w:t>
      </w:r>
      <w:r w:rsidRPr="002E3A33">
        <w:rPr>
          <w:rFonts w:ascii="Arial" w:hAnsi="Arial" w:cs="Arial"/>
          <w:color w:val="000000" w:themeColor="text1"/>
          <w:sz w:val="14"/>
          <w:szCs w:val="14"/>
        </w:rPr>
        <w:lastRenderedPageBreak/>
        <w:t>olmasına neden olabilecek kir veya atık birikmediğinden emin olunuz.</w:t>
      </w:r>
    </w:p>
    <w:p w:rsidR="00033592" w:rsidRPr="002E3A33" w:rsidRDefault="00033592" w:rsidP="00033592">
      <w:pPr>
        <w:rPr>
          <w:rFonts w:ascii="Arial" w:hAnsi="Arial" w:cs="Arial"/>
          <w:color w:val="000000" w:themeColor="text1"/>
          <w:sz w:val="14"/>
          <w:szCs w:val="14"/>
        </w:rPr>
      </w:pPr>
    </w:p>
    <w:p w:rsidR="00033592" w:rsidRPr="002E3A33" w:rsidRDefault="00033592" w:rsidP="00033592">
      <w:pPr>
        <w:rPr>
          <w:rFonts w:ascii="Arial" w:hAnsi="Arial" w:cs="Arial"/>
          <w:color w:val="000000" w:themeColor="text1"/>
          <w:sz w:val="14"/>
          <w:szCs w:val="14"/>
          <w:u w:val="single"/>
        </w:rPr>
      </w:pPr>
      <w:r w:rsidRPr="002E3A33">
        <w:rPr>
          <w:rFonts w:ascii="Arial" w:hAnsi="Arial" w:cs="Arial"/>
          <w:color w:val="000000" w:themeColor="text1"/>
          <w:sz w:val="14"/>
          <w:szCs w:val="14"/>
          <w:u w:val="single"/>
        </w:rPr>
        <w:t>HİZMETTEN ÇIKARMA VE GERİ DÖNÜŞÜM</w:t>
      </w:r>
    </w:p>
    <w:p w:rsidR="00033592" w:rsidRPr="002E3A33" w:rsidRDefault="00033592" w:rsidP="00033592">
      <w:pPr>
        <w:rPr>
          <w:rFonts w:ascii="Arial" w:hAnsi="Arial" w:cs="Arial"/>
          <w:color w:val="000000" w:themeColor="text1"/>
          <w:sz w:val="14"/>
          <w:szCs w:val="14"/>
          <w:u w:val="single"/>
        </w:rPr>
      </w:pP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Avrupa Ekonomik Topluluğu mevzuatı ve gelecek nesiller konusundaki düşüncemiz, mümkün olan her zaman malzemeleri geri dönüştürmemiz gerektiği anlamına gelmektedir; lütfen tüm ambalajları uygun geri dönüşüm kutularına koymayı unutmayınız.                 </w:t>
      </w:r>
    </w:p>
    <w:p w:rsidR="00033592" w:rsidRPr="002E3A33" w:rsidRDefault="008B3746" w:rsidP="00033592">
      <w:pPr>
        <w:rPr>
          <w:rFonts w:ascii="Arial" w:hAnsi="Arial" w:cs="Arial"/>
          <w:color w:val="000000" w:themeColor="text1"/>
          <w:sz w:val="14"/>
          <w:szCs w:val="14"/>
        </w:rPr>
      </w:pPr>
      <w:r w:rsidRPr="002E3A33">
        <w:rPr>
          <w:rFonts w:ascii="Arial" w:hAnsi="Arial" w:cs="Arial"/>
          <w:noProof/>
          <w:color w:val="000000" w:themeColor="text1"/>
          <w:sz w:val="14"/>
          <w:szCs w:val="14"/>
          <w:lang w:eastAsia="tr-TR"/>
        </w:rPr>
        <w:drawing>
          <wp:anchor distT="0" distB="0" distL="114300" distR="114300" simplePos="0" relativeHeight="251659264" behindDoc="0" locked="0" layoutInCell="1" allowOverlap="1" wp14:anchorId="72DA4D41" wp14:editId="3BD2AC07">
            <wp:simplePos x="0" y="0"/>
            <wp:positionH relativeFrom="column">
              <wp:posOffset>-109855</wp:posOffset>
            </wp:positionH>
            <wp:positionV relativeFrom="paragraph">
              <wp:posOffset>146050</wp:posOffset>
            </wp:positionV>
            <wp:extent cx="681990" cy="985520"/>
            <wp:effectExtent l="0" t="0" r="3810" b="5080"/>
            <wp:wrapThrough wrapText="bothSides">
              <wp:wrapPolygon edited="0">
                <wp:start x="0" y="0"/>
                <wp:lineTo x="0" y="21294"/>
                <wp:lineTo x="21117" y="21294"/>
                <wp:lineTo x="21117"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990" cy="985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592" w:rsidRPr="002E3A33" w:rsidRDefault="00033592" w:rsidP="00033592">
      <w:pPr>
        <w:rPr>
          <w:rFonts w:ascii="Arial" w:hAnsi="Arial" w:cs="Arial"/>
          <w:color w:val="000000" w:themeColor="text1"/>
          <w:sz w:val="14"/>
          <w:szCs w:val="14"/>
        </w:rPr>
      </w:pPr>
      <w:r w:rsidRPr="002E3A33">
        <w:rPr>
          <w:rFonts w:ascii="Arial" w:hAnsi="Arial" w:cs="Arial"/>
          <w:color w:val="000000" w:themeColor="text1"/>
          <w:sz w:val="14"/>
          <w:szCs w:val="14"/>
        </w:rPr>
        <w:t xml:space="preserve"> Ayrıca cihazınız bu simgeyle etiketlenmişse, lütfen servis ömrünün sonunda en yakın Atık Yönetim Tesisine götürünüz.</w:t>
      </w:r>
    </w:p>
    <w:p w:rsidR="00033592" w:rsidRPr="002E3A33" w:rsidRDefault="00033592" w:rsidP="00033592">
      <w:pPr>
        <w:rPr>
          <w:rFonts w:ascii="Arial" w:hAnsi="Arial" w:cs="Arial"/>
          <w:color w:val="000000" w:themeColor="text1"/>
          <w:sz w:val="14"/>
          <w:szCs w:val="14"/>
        </w:rPr>
      </w:pPr>
    </w:p>
    <w:p w:rsidR="002356A4" w:rsidRDefault="00033592" w:rsidP="002356A4">
      <w:pPr>
        <w:rPr>
          <w:rFonts w:ascii="Arial" w:hAnsi="Arial" w:cs="Arial"/>
          <w:color w:val="000000" w:themeColor="text1"/>
          <w:sz w:val="14"/>
          <w:szCs w:val="14"/>
        </w:rPr>
      </w:pPr>
      <w:r w:rsidRPr="002E3A33">
        <w:rPr>
          <w:rFonts w:ascii="Arial" w:hAnsi="Arial" w:cs="Arial"/>
          <w:color w:val="000000" w:themeColor="text1"/>
          <w:sz w:val="14"/>
          <w:szCs w:val="14"/>
        </w:rPr>
        <w:t>S</w:t>
      </w:r>
      <w:r w:rsidR="00764C5E">
        <w:rPr>
          <w:rFonts w:ascii="Arial" w:hAnsi="Arial" w:cs="Arial"/>
          <w:color w:val="000000" w:themeColor="text1"/>
          <w:sz w:val="14"/>
          <w:szCs w:val="14"/>
        </w:rPr>
        <w:t xml:space="preserve">&amp;P önceden haber vermeksizin </w:t>
      </w:r>
      <w:r w:rsidRPr="002E3A33">
        <w:rPr>
          <w:rFonts w:ascii="Arial" w:hAnsi="Arial" w:cs="Arial"/>
          <w:color w:val="000000" w:themeColor="text1"/>
          <w:sz w:val="14"/>
          <w:szCs w:val="14"/>
        </w:rPr>
        <w:t>özellikleri</w:t>
      </w:r>
      <w:r w:rsidR="00764C5E">
        <w:rPr>
          <w:rFonts w:ascii="Arial" w:hAnsi="Arial" w:cs="Arial"/>
          <w:color w:val="000000" w:themeColor="text1"/>
          <w:sz w:val="14"/>
          <w:szCs w:val="14"/>
        </w:rPr>
        <w:t xml:space="preserve"> değiştirme hakkını saklı tutar.</w:t>
      </w:r>
    </w:p>
    <w:p w:rsidR="00764C5E" w:rsidRDefault="00764C5E" w:rsidP="002356A4">
      <w:pPr>
        <w:rPr>
          <w:rFonts w:ascii="Arial" w:hAnsi="Arial" w:cs="Arial"/>
          <w:color w:val="000000" w:themeColor="text1"/>
          <w:sz w:val="14"/>
          <w:szCs w:val="14"/>
        </w:rPr>
      </w:pPr>
    </w:p>
    <w:p w:rsidR="00764C5E" w:rsidRPr="002E3A33" w:rsidRDefault="00764C5E" w:rsidP="002356A4">
      <w:pPr>
        <w:rPr>
          <w:rFonts w:ascii="Arial" w:hAnsi="Arial" w:cs="Arial"/>
          <w:color w:val="000000" w:themeColor="text1"/>
          <w:sz w:val="14"/>
          <w:szCs w:val="14"/>
        </w:rPr>
        <w:sectPr w:rsidR="00764C5E" w:rsidRPr="002E3A33" w:rsidSect="00764C5E">
          <w:type w:val="continuous"/>
          <w:pgSz w:w="8391" w:h="11907" w:code="11"/>
          <w:pgMar w:top="720" w:right="720" w:bottom="720" w:left="720" w:header="170" w:footer="0" w:gutter="0"/>
          <w:cols w:num="2" w:space="708"/>
          <w:docGrid w:linePitch="360"/>
        </w:sectPr>
      </w:pPr>
    </w:p>
    <w:p w:rsidR="00764C5E" w:rsidRDefault="00764C5E">
      <w:pPr>
        <w:rPr>
          <w:rFonts w:ascii="Arial" w:hAnsi="Arial" w:cs="Arial"/>
          <w:color w:val="000000" w:themeColor="text1"/>
          <w:sz w:val="19"/>
          <w:szCs w:val="19"/>
        </w:rPr>
      </w:pPr>
    </w:p>
    <w:sectPr w:rsidR="00764C5E" w:rsidSect="00764C5E">
      <w:pgSz w:w="8391" w:h="11907" w:code="11"/>
      <w:pgMar w:top="1417" w:right="1417" w:bottom="1417" w:left="1417" w:header="227" w:footer="454" w:gutter="0"/>
      <w:pgNumType w:start="12"/>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976" w:rsidRDefault="005C4976" w:rsidP="006F463E">
      <w:r>
        <w:separator/>
      </w:r>
    </w:p>
  </w:endnote>
  <w:endnote w:type="continuationSeparator" w:id="0">
    <w:p w:rsidR="005C4976" w:rsidRDefault="005C4976" w:rsidP="006F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11515"/>
      <w:docPartObj>
        <w:docPartGallery w:val="Page Numbers (Bottom of Page)"/>
        <w:docPartUnique/>
      </w:docPartObj>
    </w:sdtPr>
    <w:sdtContent>
      <w:p w:rsidR="0002398D" w:rsidRDefault="0002398D">
        <w:pPr>
          <w:pStyle w:val="Altbilgi"/>
          <w:jc w:val="right"/>
        </w:pPr>
        <w:r>
          <w:fldChar w:fldCharType="begin"/>
        </w:r>
        <w:r>
          <w:instrText>PAGE   \* MERGEFORMAT</w:instrText>
        </w:r>
        <w:r>
          <w:fldChar w:fldCharType="separate"/>
        </w:r>
        <w:r>
          <w:rPr>
            <w:noProof/>
          </w:rPr>
          <w:t>12</w:t>
        </w:r>
        <w:r>
          <w:fldChar w:fldCharType="end"/>
        </w:r>
      </w:p>
    </w:sdtContent>
  </w:sdt>
  <w:p w:rsidR="002E3A33" w:rsidRDefault="002E3A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976" w:rsidRDefault="005C4976" w:rsidP="006F463E">
      <w:r>
        <w:separator/>
      </w:r>
    </w:p>
  </w:footnote>
  <w:footnote w:type="continuationSeparator" w:id="0">
    <w:p w:rsidR="005C4976" w:rsidRDefault="005C4976" w:rsidP="006F4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99" w:rsidRDefault="00223F99">
    <w:pPr>
      <w:pStyle w:val="stbilgi"/>
    </w:pPr>
    <w:r>
      <w:t xml:space="preserve">                                                                                                                                                               </w:t>
    </w:r>
    <w:r w:rsidR="0003359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A6F90"/>
    <w:multiLevelType w:val="hybridMultilevel"/>
    <w:tmpl w:val="4B349EC6"/>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29"/>
    <w:rsid w:val="0002398D"/>
    <w:rsid w:val="00033592"/>
    <w:rsid w:val="00042502"/>
    <w:rsid w:val="000D051F"/>
    <w:rsid w:val="000F1699"/>
    <w:rsid w:val="00115ED4"/>
    <w:rsid w:val="001E04E3"/>
    <w:rsid w:val="00223F99"/>
    <w:rsid w:val="002356A4"/>
    <w:rsid w:val="00286288"/>
    <w:rsid w:val="002C32C3"/>
    <w:rsid w:val="002C652E"/>
    <w:rsid w:val="002E3A33"/>
    <w:rsid w:val="00322916"/>
    <w:rsid w:val="00340E1A"/>
    <w:rsid w:val="00347D93"/>
    <w:rsid w:val="003F6C66"/>
    <w:rsid w:val="004101A7"/>
    <w:rsid w:val="004F395A"/>
    <w:rsid w:val="005046E7"/>
    <w:rsid w:val="005C4976"/>
    <w:rsid w:val="005D05D2"/>
    <w:rsid w:val="005D2844"/>
    <w:rsid w:val="006F463E"/>
    <w:rsid w:val="0074608D"/>
    <w:rsid w:val="00764C5E"/>
    <w:rsid w:val="007841A6"/>
    <w:rsid w:val="00796E42"/>
    <w:rsid w:val="008B3746"/>
    <w:rsid w:val="008E0996"/>
    <w:rsid w:val="008F1D7B"/>
    <w:rsid w:val="009012D9"/>
    <w:rsid w:val="00917BDC"/>
    <w:rsid w:val="009340A4"/>
    <w:rsid w:val="00964120"/>
    <w:rsid w:val="009A7509"/>
    <w:rsid w:val="00A96AF6"/>
    <w:rsid w:val="00AD7DAA"/>
    <w:rsid w:val="00B155CB"/>
    <w:rsid w:val="00B42E59"/>
    <w:rsid w:val="00BC5129"/>
    <w:rsid w:val="00BD73C2"/>
    <w:rsid w:val="00BE01A7"/>
    <w:rsid w:val="00BE506E"/>
    <w:rsid w:val="00BF3944"/>
    <w:rsid w:val="00C03156"/>
    <w:rsid w:val="00D467C7"/>
    <w:rsid w:val="00D57DEE"/>
    <w:rsid w:val="00DA2185"/>
    <w:rsid w:val="00DE16E7"/>
    <w:rsid w:val="00E021B5"/>
    <w:rsid w:val="00E72841"/>
    <w:rsid w:val="00EC23B5"/>
    <w:rsid w:val="00EF7859"/>
    <w:rsid w:val="00F938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409FBB-4F55-4836-9795-3CB4D302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D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F395A"/>
    <w:pPr>
      <w:ind w:left="720"/>
      <w:contextualSpacing/>
    </w:pPr>
  </w:style>
  <w:style w:type="paragraph" w:styleId="BalonMetni">
    <w:name w:val="Balloon Text"/>
    <w:basedOn w:val="Normal"/>
    <w:link w:val="BalonMetniChar"/>
    <w:uiPriority w:val="99"/>
    <w:semiHidden/>
    <w:unhideWhenUsed/>
    <w:rsid w:val="0004250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2502"/>
    <w:rPr>
      <w:rFonts w:ascii="Segoe UI" w:hAnsi="Segoe UI" w:cs="Segoe UI"/>
      <w:sz w:val="18"/>
      <w:szCs w:val="18"/>
    </w:rPr>
  </w:style>
  <w:style w:type="paragraph" w:styleId="stbilgi">
    <w:name w:val="header"/>
    <w:basedOn w:val="Normal"/>
    <w:link w:val="stbilgiChar"/>
    <w:uiPriority w:val="99"/>
    <w:unhideWhenUsed/>
    <w:rsid w:val="006F463E"/>
    <w:pPr>
      <w:tabs>
        <w:tab w:val="center" w:pos="4536"/>
        <w:tab w:val="right" w:pos="9072"/>
      </w:tabs>
    </w:pPr>
  </w:style>
  <w:style w:type="character" w:customStyle="1" w:styleId="stbilgiChar">
    <w:name w:val="Üstbilgi Char"/>
    <w:basedOn w:val="VarsaylanParagrafYazTipi"/>
    <w:link w:val="stbilgi"/>
    <w:uiPriority w:val="99"/>
    <w:rsid w:val="006F463E"/>
  </w:style>
  <w:style w:type="paragraph" w:styleId="Altbilgi">
    <w:name w:val="footer"/>
    <w:basedOn w:val="Normal"/>
    <w:link w:val="AltbilgiChar"/>
    <w:uiPriority w:val="99"/>
    <w:unhideWhenUsed/>
    <w:rsid w:val="006F463E"/>
    <w:pPr>
      <w:tabs>
        <w:tab w:val="center" w:pos="4536"/>
        <w:tab w:val="right" w:pos="9072"/>
      </w:tabs>
    </w:pPr>
  </w:style>
  <w:style w:type="character" w:customStyle="1" w:styleId="AltbilgiChar">
    <w:name w:val="Altbilgi Char"/>
    <w:basedOn w:val="VarsaylanParagrafYazTipi"/>
    <w:link w:val="Altbilgi"/>
    <w:uiPriority w:val="99"/>
    <w:rsid w:val="006F4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9E750-89C5-48B1-8EFA-5A3D493D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Pages>
  <Words>672</Words>
  <Characters>3835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Sevcan GÜNGÖRDÜ</dc:creator>
  <cp:keywords/>
  <dc:description/>
  <cp:lastModifiedBy>Sevcan GÜNGÖRDÜ</cp:lastModifiedBy>
  <cp:revision>44</cp:revision>
  <dcterms:created xsi:type="dcterms:W3CDTF">2020-06-15T08:51:00Z</dcterms:created>
  <dcterms:modified xsi:type="dcterms:W3CDTF">2020-06-16T14:57:00Z</dcterms:modified>
</cp:coreProperties>
</file>